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05023" w14:textId="1D19F36C" w:rsidR="00BA40A1" w:rsidRPr="00BA40A1" w:rsidRDefault="00BA4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14:paraId="095FB655" w14:textId="25A24867" w:rsidR="000D123E" w:rsidRPr="00BA40A1" w:rsidRDefault="00645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14:paraId="37E28C08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351FA00" w14:textId="77E195A2" w:rsidR="002B3A9B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00.00.0000 г.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1E78A06B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контроля на автомобильном транспорте и в дорожном хозяйстве в границах </w:t>
      </w:r>
      <w:r w:rsidR="00685B75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Верхнебалыклейского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685B7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Быковского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305D67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0F14DD9A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", </w:t>
      </w:r>
      <w:r w:rsidR="00741A54" w:rsidRPr="00685B75"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</w:t>
      </w:r>
      <w:proofErr w:type="gramStart"/>
      <w:r w:rsidR="00741A54" w:rsidRPr="00685B75">
        <w:rPr>
          <w:rFonts w:ascii="Times New Roman" w:eastAsia="Times New Roman" w:hAnsi="Times New Roman" w:cs="Times New Roman"/>
          <w:color w:val="000000"/>
          <w:sz w:val="24"/>
        </w:rPr>
        <w:t>Протокола совещания Министерства экономического развития Российской Федерации</w:t>
      </w:r>
      <w:proofErr w:type="gramEnd"/>
      <w:r w:rsidR="00741A54" w:rsidRPr="00685B75">
        <w:rPr>
          <w:rFonts w:ascii="Times New Roman" w:eastAsia="Times New Roman" w:hAnsi="Times New Roman" w:cs="Times New Roman"/>
          <w:color w:val="000000"/>
          <w:sz w:val="24"/>
        </w:rPr>
        <w:t xml:space="preserve"> от 29 августа 2023 г. № 32-Д24,</w:t>
      </w:r>
      <w:r w:rsidR="00741A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Уставом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 xml:space="preserve"> Быковского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(наименование муниципального образования), администрация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579D6EBA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8F7E47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8F7E47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9CF1C60" w14:textId="07B9DB78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3B0AC543"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9284D1" w14:textId="363F47A5"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</w:p>
    <w:p w14:paraId="4F457250" w14:textId="312D8707" w:rsidR="00685B75" w:rsidRDefault="00685B7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Л.А.Колебошина</w:t>
      </w:r>
      <w:proofErr w:type="spellEnd"/>
    </w:p>
    <w:p w14:paraId="759D1053" w14:textId="03F7C61A"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E909C" w14:textId="10E50BD0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14:paraId="38548DCD" w14:textId="77777777" w:rsidR="000D123E" w:rsidRDefault="00645A3A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35AB3884" w:rsidR="000D123E" w:rsidRDefault="00685B7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5B2DE1" w14:textId="3F5F42B1" w:rsidR="000D123E" w:rsidRDefault="00645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0F38A7" w:rsidRPr="000F38A7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контр</w:t>
      </w:r>
      <w:r w:rsidR="00685B75">
        <w:rPr>
          <w:rFonts w:ascii="Times New Roman" w:eastAsia="Times New Roman" w:hAnsi="Times New Roman" w:cs="Times New Roman"/>
          <w:b/>
          <w:color w:val="000000"/>
          <w:sz w:val="24"/>
        </w:rPr>
        <w:t>оля на автомобильном транспорте</w:t>
      </w:r>
      <w:r w:rsidR="000F38A7" w:rsidRPr="000F38A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 в дорожном хозяйстве в границах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85B75">
        <w:rPr>
          <w:rFonts w:ascii="Times New Roman" w:eastAsia="Times New Roman" w:hAnsi="Times New Roman" w:cs="Times New Roman"/>
          <w:b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поселения </w:t>
      </w:r>
      <w:r w:rsidR="00685B75">
        <w:rPr>
          <w:rFonts w:ascii="Times New Roman" w:eastAsia="Times New Roman" w:hAnsi="Times New Roman" w:cs="Times New Roman"/>
          <w:b/>
          <w:color w:val="000000"/>
          <w:sz w:val="24"/>
        </w:rPr>
        <w:t>Быковского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48E4F20" w14:textId="77777777" w:rsidR="00685B75" w:rsidRDefault="00685B75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E433705" w:rsidR="000D123E" w:rsidRDefault="00645A3A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645A3A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28C1BE8" w14:textId="77777777" w:rsidR="004B33A6" w:rsidRDefault="004B33A6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5EC0BF0E" w:rsidR="000D123E" w:rsidRDefault="00645A3A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F74A8" w:rsidRPr="008F74A8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 xml:space="preserve">Быковского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099351AF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00108D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00108D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685B75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153F43">
        <w:rPr>
          <w:rFonts w:ascii="Times New Roman" w:eastAsia="Times New Roman" w:hAnsi="Times New Roman" w:cs="Times New Roman"/>
          <w:color w:val="000000"/>
          <w:sz w:val="24"/>
        </w:rPr>
        <w:t>, контрольный орган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>муниципального контр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оля на автомобильном транспорте</w:t>
      </w:r>
      <w:r w:rsidR="00764065" w:rsidRPr="00764065">
        <w:rPr>
          <w:rFonts w:ascii="Times New Roman" w:eastAsia="Times New Roman" w:hAnsi="Times New Roman" w:cs="Times New Roman"/>
          <w:color w:val="000000"/>
          <w:sz w:val="24"/>
        </w:rPr>
        <w:t xml:space="preserve"> и в дорожном хозяйстве в границах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Верхнебалыклейского сельского</w:t>
      </w:r>
      <w:r w:rsidR="007B09B6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 xml:space="preserve">Быковского </w:t>
      </w:r>
      <w:r w:rsidR="007B09B6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района Волгоградской области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особенностях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организации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и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340AD02F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023AD1" w:rsidRPr="00764065">
        <w:rPr>
          <w:rFonts w:ascii="Times New Roman" w:eastAsia="Times New Roman" w:hAnsi="Times New Roman" w:cs="Times New Roman"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Верхнебалыклейского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Быковского</w:t>
      </w:r>
      <w:r w:rsidR="00023AD1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>
        <w:rPr>
          <w:rFonts w:ascii="Times New Roman" w:eastAsia="Times New Roman" w:hAnsi="Times New Roman" w:cs="Times New Roman"/>
          <w:color w:val="000000"/>
          <w:sz w:val="24"/>
        </w:rPr>
        <w:t>за 202</w:t>
      </w:r>
      <w:r w:rsidR="007956B3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3843D0B9" w14:textId="6B006994" w:rsidR="003E7A0E" w:rsidRDefault="00B754AF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97BF7">
        <w:rPr>
          <w:rFonts w:ascii="Times New Roman" w:eastAsia="Times New Roman" w:hAnsi="Times New Roman" w:cs="Times New Roman"/>
          <w:color w:val="000000"/>
          <w:sz w:val="24"/>
        </w:rPr>
        <w:t xml:space="preserve">В период 2023 года администрацией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проводились следующие профилактические мероприятия, предусмотренные программой профилактики 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>рисков причинения вреда (ущерба) охраняемым законом ценностям при осуществлении муниципального контроля на 202</w:t>
      </w:r>
      <w:r w:rsidR="003E7A0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3E7A0E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утвержденной постановлением администрации </w:t>
      </w:r>
      <w:r w:rsidR="003E7A0E"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09.11.2022</w:t>
      </w:r>
      <w:r w:rsidR="003E7A0E"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0435E7">
        <w:rPr>
          <w:rFonts w:ascii="Times New Roman" w:eastAsia="Times New Roman" w:hAnsi="Times New Roman" w:cs="Times New Roman"/>
          <w:color w:val="000000"/>
          <w:sz w:val="24"/>
        </w:rPr>
        <w:t>90</w:t>
      </w:r>
      <w:r w:rsidR="003E7A0E" w:rsidRPr="000435E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7C34C963" w14:textId="77777777" w:rsidR="000435E7" w:rsidRDefault="000435E7" w:rsidP="00043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размещение на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предметов муниципального контроля, а также текстов соответствующих нормативных правовых актов</w:t>
      </w:r>
    </w:p>
    <w:p w14:paraId="09DF324E" w14:textId="101EDF71" w:rsidR="000435E7" w:rsidRDefault="000435E7" w:rsidP="00043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осуществление информирования юридических лиц, индивидуальных предпринимателей по вопросам соблюдения обязательных требований</w:t>
      </w:r>
    </w:p>
    <w:p w14:paraId="464E041D" w14:textId="30637DD6" w:rsidR="00B66124" w:rsidRDefault="000435E7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B66124" w:rsidRPr="00B66124">
        <w:rPr>
          <w:rFonts w:ascii="Times New Roman" w:eastAsia="Times New Roman" w:hAnsi="Times New Roman" w:cs="Times New Roman"/>
          <w:color w:val="000000"/>
          <w:sz w:val="24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D782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FA3A2F0" w14:textId="19663004" w:rsidR="008A106D" w:rsidRPr="008A106D" w:rsidRDefault="008A106D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106D">
        <w:rPr>
          <w:rFonts w:ascii="Times New Roman" w:eastAsia="Times New Roman" w:hAnsi="Times New Roman" w:cs="Times New Roman"/>
          <w:color w:val="000000"/>
          <w:sz w:val="24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2217385C" w14:textId="6B46CAB0" w:rsidR="008A106D" w:rsidRPr="008A106D" w:rsidRDefault="008A106D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106D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 при осуществлении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контроля </w:t>
      </w:r>
      <w:r w:rsidRPr="008A106D">
        <w:rPr>
          <w:rFonts w:ascii="Times New Roman" w:eastAsia="Times New Roman" w:hAnsi="Times New Roman" w:cs="Times New Roman"/>
          <w:color w:val="000000"/>
          <w:sz w:val="24"/>
        </w:rPr>
        <w:t>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4AD53B26" w14:textId="2C02D552" w:rsidR="008A106D" w:rsidRDefault="008A106D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A106D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1DC4B259" w14:textId="39D8BCF1" w:rsidR="00897BF7" w:rsidRDefault="00BE0DCC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профилактики направлена на предотвращение совершения нарушений подконтрольными субъектами, в этой связи, администрацией 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>разработан следующий комплекс профилактических мероприятий на 2024 год, приведенный в разделе 3 настоящей Программы.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66095CE" w14:textId="73DF557A" w:rsidR="004E048F" w:rsidRDefault="000435E7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proofErr w:type="gramStart"/>
      <w:r w:rsidR="004E048F" w:rsidRPr="000435E7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4E048F"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4E048F" w:rsidRPr="000435E7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4E048F"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="004E048F" w:rsidRPr="004E048F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45FD07AE" w14:textId="77777777" w:rsidR="004E048F" w:rsidRDefault="004E048F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525FF31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9DF283F" w14:textId="77777777" w:rsidR="000435E7" w:rsidRDefault="000435E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6117ED8C" w14:textId="77777777" w:rsidR="000435E7" w:rsidRDefault="000435E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6E010CF1" w14:textId="77777777" w:rsidR="000435E7" w:rsidRDefault="000435E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3576"/>
        <w:gridCol w:w="2410"/>
        <w:gridCol w:w="2942"/>
      </w:tblGrid>
      <w:tr w:rsidR="000D123E" w14:paraId="38550A3D" w14:textId="77777777" w:rsidTr="005050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 w:rsidTr="005050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64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14:paraId="1172CD1B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54003A52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7EABABF9" w:rsidR="000D123E" w:rsidRPr="0037084D" w:rsidRDefault="00505077" w:rsidP="003708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</w:t>
            </w:r>
          </w:p>
        </w:tc>
      </w:tr>
      <w:tr w:rsidR="000D123E" w14:paraId="630CF65B" w14:textId="77777777" w:rsidTr="00505077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645A3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результатах.</w:t>
            </w:r>
          </w:p>
          <w:p w14:paraId="34E972A9" w14:textId="10965A0C" w:rsidR="000D123E" w:rsidRDefault="00645A3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9D09066" w:rsidR="000D123E" w:rsidRDefault="0064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BD515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7AFDDFCB" w:rsidR="000D123E" w:rsidRDefault="0050507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 по имуществу и землепользования</w:t>
            </w:r>
          </w:p>
        </w:tc>
      </w:tr>
      <w:tr w:rsidR="000D123E" w14:paraId="08C3CF85" w14:textId="77777777" w:rsidTr="00505077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645A3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0FE58485" w:rsidR="000D123E" w:rsidRDefault="0050507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 по имуществу и землепользования</w:t>
            </w:r>
          </w:p>
        </w:tc>
      </w:tr>
      <w:tr w:rsidR="000D123E" w14:paraId="56BC84D5" w14:textId="77777777" w:rsidTr="00505077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3AA18225" w:rsidR="000D123E" w:rsidRDefault="00645A3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семинаров, инструктажей, тематических конференций, заседаний рабочих групп, "горячих линий"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BBD557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75F44F28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4) порядка обжалования решений Контрольного органа.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390FCD59" w:rsidR="000D123E" w:rsidRDefault="0050507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 по имуществу и землепользования</w:t>
            </w:r>
          </w:p>
        </w:tc>
      </w:tr>
      <w:tr w:rsidR="000D123E" w14:paraId="3DB0DD37" w14:textId="77777777" w:rsidTr="005050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4FDCC480" w14:textId="77777777" w:rsidR="000D123E" w:rsidRDefault="00645A3A" w:rsidP="000F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0CE6C42B" w:rsidR="007312E9" w:rsidRPr="007312E9" w:rsidRDefault="007312E9" w:rsidP="000F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077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7312E" w14:textId="77777777" w:rsidR="00505077" w:rsidRDefault="005050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</w:pPr>
          </w:p>
          <w:p w14:paraId="1BFDC892" w14:textId="72044A13" w:rsidR="00505077" w:rsidRDefault="005050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Один раз в год</w:t>
            </w:r>
          </w:p>
          <w:p w14:paraId="299AAE38" w14:textId="77777777" w:rsidR="00505077" w:rsidRPr="00505077" w:rsidRDefault="005050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7B80551C" w:rsidR="000D123E" w:rsidRPr="0067213E" w:rsidRDefault="0067213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5077">
              <w:rPr>
                <w:rFonts w:ascii="Times New Roman" w:hAnsi="Times New Roman" w:cs="Times New Roman"/>
                <w:sz w:val="18"/>
                <w:szCs w:val="18"/>
              </w:rPr>
              <w:t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  <w:r w:rsidRPr="0067213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405E1B55" w:rsidR="000D123E" w:rsidRDefault="00505077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 по имуществу и землепользования</w:t>
            </w:r>
          </w:p>
        </w:tc>
      </w:tr>
    </w:tbl>
    <w:p w14:paraId="45234E3D" w14:textId="2E1A62CD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645A3A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645A3A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645A3A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645A3A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645A3A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645A3A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645A3A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645A3A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645A3A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645A3A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05ABBB4" w14:textId="5C4BD1E6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29DA0E7" w14:textId="77777777" w:rsidR="00284EA5" w:rsidRDefault="00284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4328F37" w14:textId="77777777" w:rsidR="00284EA5" w:rsidRDefault="00284EA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3DFA709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8EA91CB" w14:textId="77777777" w:rsidR="00BC0CF8" w:rsidRPr="000435E7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435E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19E7E8EC" w14:textId="77777777" w:rsidR="00BC0CF8" w:rsidRPr="000435E7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35E7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70DF66D8" w14:textId="77777777" w:rsidR="00BC0CF8" w:rsidRPr="000435E7" w:rsidRDefault="00BC0CF8" w:rsidP="00BC0CF8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57966C0" w14:textId="77777777" w:rsidR="00BC0CF8" w:rsidRPr="000435E7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D67BE5F" w14:textId="77777777" w:rsidR="00BC0CF8" w:rsidRPr="000435E7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BC0CF8" w:rsidRPr="000435E7" w14:paraId="30DB29F0" w14:textId="77777777" w:rsidTr="00503ABB">
        <w:trPr>
          <w:trHeight w:val="1244"/>
        </w:trPr>
        <w:tc>
          <w:tcPr>
            <w:tcW w:w="426" w:type="dxa"/>
          </w:tcPr>
          <w:p w14:paraId="6FFF2E8E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2BA9FAF1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0435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330CC50C" w14:textId="77777777" w:rsidR="00BC0CF8" w:rsidRPr="000435E7" w:rsidRDefault="00BC0CF8" w:rsidP="00BC0C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0BF01A81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153582BC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40E51ECB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35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C0CF8" w:rsidRPr="000435E7" w14:paraId="7A567A6D" w14:textId="77777777" w:rsidTr="00503ABB">
        <w:trPr>
          <w:trHeight w:val="419"/>
        </w:trPr>
        <w:tc>
          <w:tcPr>
            <w:tcW w:w="426" w:type="dxa"/>
          </w:tcPr>
          <w:p w14:paraId="62E4AE02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79F46A0D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0956112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DB9BC30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97576AD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0435E7" w14:paraId="3712750F" w14:textId="77777777" w:rsidTr="00503ABB">
        <w:trPr>
          <w:trHeight w:val="529"/>
        </w:trPr>
        <w:tc>
          <w:tcPr>
            <w:tcW w:w="426" w:type="dxa"/>
          </w:tcPr>
          <w:p w14:paraId="62A38E8C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37A080E1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37D006C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D85EA0E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570E51D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0435E7" w14:paraId="155DE113" w14:textId="77777777" w:rsidTr="00503ABB">
        <w:trPr>
          <w:trHeight w:val="529"/>
        </w:trPr>
        <w:tc>
          <w:tcPr>
            <w:tcW w:w="426" w:type="dxa"/>
          </w:tcPr>
          <w:p w14:paraId="5A218D06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542C1172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9A61C54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4999B28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3E222CE" w14:textId="77777777" w:rsidR="00BC0CF8" w:rsidRPr="000435E7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BC0CF8" w14:paraId="796784E3" w14:textId="77777777" w:rsidTr="00503ABB">
        <w:trPr>
          <w:trHeight w:val="529"/>
        </w:trPr>
        <w:tc>
          <w:tcPr>
            <w:tcW w:w="426" w:type="dxa"/>
          </w:tcPr>
          <w:p w14:paraId="4D905E22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36781C16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8DA5AC0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BD83AAA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14F471A" w14:textId="77777777"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61ED82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C0C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EE13D37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1F6282C" w14:textId="77777777"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617B20D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61675E3" w14:textId="77777777"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0108D"/>
    <w:rsid w:val="000213ED"/>
    <w:rsid w:val="00022818"/>
    <w:rsid w:val="00023AD1"/>
    <w:rsid w:val="000435E7"/>
    <w:rsid w:val="00054435"/>
    <w:rsid w:val="00067ADC"/>
    <w:rsid w:val="000807C5"/>
    <w:rsid w:val="000A5FFB"/>
    <w:rsid w:val="000D123E"/>
    <w:rsid w:val="000D7FAD"/>
    <w:rsid w:val="000F38A7"/>
    <w:rsid w:val="000F53A6"/>
    <w:rsid w:val="00153F43"/>
    <w:rsid w:val="00184AFB"/>
    <w:rsid w:val="00191534"/>
    <w:rsid w:val="001B6B47"/>
    <w:rsid w:val="001D5837"/>
    <w:rsid w:val="001D67C6"/>
    <w:rsid w:val="001E0313"/>
    <w:rsid w:val="001F58E6"/>
    <w:rsid w:val="00202BD1"/>
    <w:rsid w:val="00210ECC"/>
    <w:rsid w:val="00284EA5"/>
    <w:rsid w:val="002A2BBC"/>
    <w:rsid w:val="002B3A9B"/>
    <w:rsid w:val="002C33ED"/>
    <w:rsid w:val="00305D67"/>
    <w:rsid w:val="003243D1"/>
    <w:rsid w:val="003251DC"/>
    <w:rsid w:val="00335687"/>
    <w:rsid w:val="003424FA"/>
    <w:rsid w:val="0036460F"/>
    <w:rsid w:val="0037077E"/>
    <w:rsid w:val="0037084D"/>
    <w:rsid w:val="00377C8B"/>
    <w:rsid w:val="003A4717"/>
    <w:rsid w:val="003E40A4"/>
    <w:rsid w:val="003E7A0E"/>
    <w:rsid w:val="0042473E"/>
    <w:rsid w:val="004908EE"/>
    <w:rsid w:val="004A7CFA"/>
    <w:rsid w:val="004B2E2C"/>
    <w:rsid w:val="004B33A6"/>
    <w:rsid w:val="004E048F"/>
    <w:rsid w:val="00505077"/>
    <w:rsid w:val="0051273A"/>
    <w:rsid w:val="0056633F"/>
    <w:rsid w:val="00592F86"/>
    <w:rsid w:val="00594354"/>
    <w:rsid w:val="005C2308"/>
    <w:rsid w:val="005C7F0A"/>
    <w:rsid w:val="005D1E3A"/>
    <w:rsid w:val="005D2F2A"/>
    <w:rsid w:val="00645A3A"/>
    <w:rsid w:val="006617E9"/>
    <w:rsid w:val="0067213E"/>
    <w:rsid w:val="00685B75"/>
    <w:rsid w:val="006A6247"/>
    <w:rsid w:val="006E020D"/>
    <w:rsid w:val="007312E9"/>
    <w:rsid w:val="007328C6"/>
    <w:rsid w:val="00740094"/>
    <w:rsid w:val="00741A54"/>
    <w:rsid w:val="00747876"/>
    <w:rsid w:val="0076258F"/>
    <w:rsid w:val="00764065"/>
    <w:rsid w:val="00765F6D"/>
    <w:rsid w:val="00766AC6"/>
    <w:rsid w:val="007956B3"/>
    <w:rsid w:val="007A7AC3"/>
    <w:rsid w:val="007B09B6"/>
    <w:rsid w:val="007C6B7A"/>
    <w:rsid w:val="007D14A8"/>
    <w:rsid w:val="00810009"/>
    <w:rsid w:val="0085320C"/>
    <w:rsid w:val="00886BF1"/>
    <w:rsid w:val="00897BF7"/>
    <w:rsid w:val="008A106D"/>
    <w:rsid w:val="008A1D81"/>
    <w:rsid w:val="008A6ADC"/>
    <w:rsid w:val="008D4CE2"/>
    <w:rsid w:val="008F74A8"/>
    <w:rsid w:val="008F7E47"/>
    <w:rsid w:val="009256BA"/>
    <w:rsid w:val="009279F5"/>
    <w:rsid w:val="009D0D81"/>
    <w:rsid w:val="009D59F5"/>
    <w:rsid w:val="00A457CD"/>
    <w:rsid w:val="00A70F2A"/>
    <w:rsid w:val="00AC6BEA"/>
    <w:rsid w:val="00AE0F02"/>
    <w:rsid w:val="00B65243"/>
    <w:rsid w:val="00B66124"/>
    <w:rsid w:val="00B754AF"/>
    <w:rsid w:val="00BA09BF"/>
    <w:rsid w:val="00BA40A1"/>
    <w:rsid w:val="00BC0CF8"/>
    <w:rsid w:val="00BC6A99"/>
    <w:rsid w:val="00BD5155"/>
    <w:rsid w:val="00BE0DCC"/>
    <w:rsid w:val="00C22AAD"/>
    <w:rsid w:val="00CC7968"/>
    <w:rsid w:val="00CE361A"/>
    <w:rsid w:val="00D23AA0"/>
    <w:rsid w:val="00D24625"/>
    <w:rsid w:val="00D277AC"/>
    <w:rsid w:val="00D50370"/>
    <w:rsid w:val="00D80DBE"/>
    <w:rsid w:val="00D97D62"/>
    <w:rsid w:val="00DA1392"/>
    <w:rsid w:val="00DC6798"/>
    <w:rsid w:val="00E2047A"/>
    <w:rsid w:val="00E308F1"/>
    <w:rsid w:val="00E53DF8"/>
    <w:rsid w:val="00E6341E"/>
    <w:rsid w:val="00E804DA"/>
    <w:rsid w:val="00ED7822"/>
    <w:rsid w:val="00EF2FE7"/>
    <w:rsid w:val="00F63A99"/>
    <w:rsid w:val="00F82881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3</cp:revision>
  <dcterms:created xsi:type="dcterms:W3CDTF">2023-09-19T04:56:00Z</dcterms:created>
  <dcterms:modified xsi:type="dcterms:W3CDTF">2023-10-02T06:51:00Z</dcterms:modified>
</cp:coreProperties>
</file>