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0" w:line="240"/>
        <w:ind w:right="0" w:left="0" w:firstLine="72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РОССИЙСКАЯ  ФЕДЕРАЦИЯ</w:t>
      </w:r>
    </w:p>
    <w:p>
      <w:pPr>
        <w:widowControl w:val="false"/>
        <w:spacing w:before="0" w:after="0" w:line="240"/>
        <w:ind w:right="0" w:left="0" w:firstLine="72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ВОЛГОГРАДСКАЯ  ОБЛАСТЬ</w:t>
      </w:r>
    </w:p>
    <w:p>
      <w:pPr>
        <w:widowControl w:val="false"/>
        <w:spacing w:before="0" w:after="0" w:line="240"/>
        <w:ind w:right="0" w:left="0" w:firstLine="72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БЫКОВСКИЙ МУНИЦИПАЛЬНЫЙ РАЙОН</w:t>
      </w:r>
    </w:p>
    <w:p>
      <w:pPr>
        <w:widowControl w:val="false"/>
        <w:spacing w:before="0" w:after="0" w:line="240"/>
        <w:ind w:right="0" w:left="0" w:firstLine="720"/>
        <w:jc w:val="center"/>
        <w:rPr>
          <w:rFonts w:ascii="Arial" w:hAnsi="Arial" w:cs="Arial" w:eastAsia="Arial"/>
          <w:b/>
          <w:color w:val="FF0000"/>
          <w:spacing w:val="0"/>
          <w:position w:val="0"/>
          <w:sz w:val="26"/>
          <w:shd w:fill="auto" w:val="clear"/>
        </w:rPr>
      </w:pPr>
      <w:r>
        <w:rPr>
          <w:rFonts w:ascii="Arial" w:hAnsi="Arial" w:cs="Arial" w:eastAsia="Arial"/>
          <w:b/>
          <w:color w:val="auto"/>
          <w:spacing w:val="0"/>
          <w:position w:val="0"/>
          <w:sz w:val="26"/>
          <w:shd w:fill="auto" w:val="clear"/>
        </w:rPr>
        <w:t xml:space="preserve">ВЕРХНЕБАЛЫКЛЕЙСКАЯ СЕЛЬСКАЯ ДУМА</w:t>
      </w:r>
    </w:p>
    <w:p>
      <w:pPr>
        <w:widowControl w:val="false"/>
        <w:spacing w:before="0" w:after="0" w:line="240"/>
        <w:ind w:right="0" w:left="720" w:firstLine="0"/>
        <w:jc w:val="center"/>
        <w:rPr>
          <w:rFonts w:ascii="Arial" w:hAnsi="Arial" w:cs="Arial" w:eastAsia="Arial"/>
          <w:b/>
          <w:color w:val="FF0000"/>
          <w:spacing w:val="0"/>
          <w:position w:val="0"/>
          <w:sz w:val="26"/>
          <w:shd w:fill="auto" w:val="clear"/>
        </w:rPr>
      </w:pPr>
    </w:p>
    <w:p>
      <w:pPr>
        <w:widowControl w:val="false"/>
        <w:spacing w:before="0" w:after="0" w:line="240"/>
        <w:ind w:right="0" w:left="720" w:firstLine="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РЕШЕНИЕ</w:t>
      </w:r>
    </w:p>
    <w:p>
      <w:pPr>
        <w:widowControl w:val="false"/>
        <w:spacing w:before="0" w:after="0" w:line="240"/>
        <w:ind w:right="0" w:left="720" w:firstLine="0"/>
        <w:jc w:val="center"/>
        <w:rPr>
          <w:rFonts w:ascii="Arial" w:hAnsi="Arial" w:cs="Arial" w:eastAsia="Arial"/>
          <w:color w:val="auto"/>
          <w:spacing w:val="0"/>
          <w:position w:val="0"/>
          <w:sz w:val="26"/>
          <w:shd w:fill="auto" w:val="clear"/>
        </w:rPr>
      </w:pPr>
    </w:p>
    <w:p>
      <w:pPr>
        <w:widowControl w:val="false"/>
        <w:spacing w:before="0" w:after="0" w:line="240"/>
        <w:ind w:right="0" w:left="72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от12 июля 2017                      № 48/128 </w:t>
      </w:r>
    </w:p>
    <w:p>
      <w:pPr>
        <w:widowControl w:val="false"/>
        <w:spacing w:before="0" w:after="0" w:line="240"/>
        <w:ind w:right="0" w:left="720" w:firstLine="0"/>
        <w:jc w:val="center"/>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Об утверждении Порядка предоставления разрешений на вырубку (обрезку), посадку зеленых насаждений на территории муниципального образования Верхнебалыклейское сельское поселение</w:t>
      </w: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целях улучшения санитарного содержания и благоустройства территории Верхнебалыклейского сельского поселения, руководствуясь Федеральным законом от 06.10.2003 N 131-ФЗ "Об общих принципах организации местного самоуправления в Российской Федерации", </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Совет депутатов Верхнебалыклейского сельского поселения </w:t>
        <w:br/>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РЕШИЛ:</w:t>
      </w: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Утвердить прилагаемый Порядок предоставления разрешений на вырубку (обрезку), посадку зеленых насаждений на территории муниципального образования Верхнебалыклейское сельское поселение.</w:t>
      </w: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Настоящее решение вступает в силу с даты его подписания и подлежит официальному обнародованию и размещению на официальном сайте администрации поселения в информационно-телекоммуникационной сети «Интернет».</w:t>
      </w: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Глава Верхнебалыклейского</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сельского поселения                                                       Л.А.Колебошина</w:t>
      </w: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p>
    <w:p>
      <w:pPr>
        <w:widowControl w:val="false"/>
        <w:spacing w:before="0" w:after="0" w:line="240"/>
        <w:ind w:right="0" w:left="720" w:firstLine="0"/>
        <w:jc w:val="righ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Утверждено</w:t>
      </w:r>
    </w:p>
    <w:p>
      <w:pPr>
        <w:widowControl w:val="false"/>
        <w:spacing w:before="0" w:after="0" w:line="240"/>
        <w:ind w:right="0" w:left="720" w:firstLine="0"/>
        <w:jc w:val="righ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 решением Совета депутатов</w:t>
      </w:r>
    </w:p>
    <w:p>
      <w:pPr>
        <w:widowControl w:val="false"/>
        <w:spacing w:before="0" w:after="0" w:line="240"/>
        <w:ind w:right="0" w:left="720" w:firstLine="0"/>
        <w:jc w:val="righ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Верхнебалыклейского сельского поселения</w:t>
      </w:r>
    </w:p>
    <w:p>
      <w:pPr>
        <w:widowControl w:val="false"/>
        <w:spacing w:before="0" w:after="0" w:line="240"/>
        <w:ind w:right="0" w:left="720" w:firstLine="0"/>
        <w:jc w:val="righ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от12.07.2017 №48/128</w:t>
      </w:r>
    </w:p>
    <w:p>
      <w:pPr>
        <w:widowControl w:val="false"/>
        <w:spacing w:before="0" w:after="0" w:line="240"/>
        <w:ind w:right="0" w:left="720" w:firstLine="0"/>
        <w:jc w:val="center"/>
        <w:rPr>
          <w:rFonts w:ascii="Arial" w:hAnsi="Arial" w:cs="Arial" w:eastAsia="Arial"/>
          <w:color w:val="auto"/>
          <w:spacing w:val="0"/>
          <w:position w:val="0"/>
          <w:sz w:val="26"/>
          <w:shd w:fill="auto" w:val="clear"/>
        </w:rPr>
      </w:pPr>
    </w:p>
    <w:p>
      <w:pPr>
        <w:widowControl w:val="false"/>
        <w:spacing w:before="0" w:after="0" w:line="240"/>
        <w:ind w:right="0" w:left="720" w:firstLine="0"/>
        <w:jc w:val="center"/>
        <w:rPr>
          <w:rFonts w:ascii="Arial" w:hAnsi="Arial" w:cs="Arial" w:eastAsia="Arial"/>
          <w:color w:val="auto"/>
          <w:spacing w:val="0"/>
          <w:position w:val="0"/>
          <w:sz w:val="26"/>
          <w:shd w:fill="auto" w:val="clear"/>
        </w:rPr>
      </w:pPr>
    </w:p>
    <w:p>
      <w:pPr>
        <w:widowControl w:val="false"/>
        <w:spacing w:before="0" w:after="0" w:line="240"/>
        <w:ind w:right="0" w:left="720" w:firstLine="0"/>
        <w:jc w:val="center"/>
        <w:rPr>
          <w:rFonts w:ascii="Arial" w:hAnsi="Arial" w:cs="Arial" w:eastAsia="Arial"/>
          <w:b/>
          <w:color w:val="auto"/>
          <w:spacing w:val="0"/>
          <w:position w:val="0"/>
          <w:sz w:val="26"/>
          <w:shd w:fill="auto" w:val="clear"/>
        </w:rPr>
      </w:pPr>
    </w:p>
    <w:p>
      <w:pPr>
        <w:widowControl w:val="false"/>
        <w:spacing w:before="0" w:after="0" w:line="240"/>
        <w:ind w:right="0" w:left="720" w:firstLine="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Порядок </w:t>
      </w:r>
    </w:p>
    <w:p>
      <w:pPr>
        <w:widowControl w:val="false"/>
        <w:spacing w:before="0" w:after="0" w:line="240"/>
        <w:ind w:right="0" w:left="720" w:firstLine="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предоставления разрешений на вырубку (обрезку), посадку зеленых насаждений на территории муниципального образования Верхнебалыклейское сельское поселение</w:t>
      </w:r>
    </w:p>
    <w:p>
      <w:pPr>
        <w:widowControl w:val="false"/>
        <w:spacing w:before="0" w:after="0" w:line="240"/>
        <w:ind w:right="0" w:left="720" w:firstLine="0"/>
        <w:jc w:val="center"/>
        <w:rPr>
          <w:rFonts w:ascii="Arial" w:hAnsi="Arial" w:cs="Arial" w:eastAsia="Arial"/>
          <w:color w:val="auto"/>
          <w:spacing w:val="0"/>
          <w:position w:val="0"/>
          <w:sz w:val="26"/>
          <w:shd w:fill="auto" w:val="clear"/>
        </w:rPr>
      </w:pP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Настоящий Порядок предоставления разрешений на вырубку (обрезку), посадку зеленых насаждений на территории муниципального образования Верхнебалыклейское сельское поселение (далее - Разрешений), произрастающих на территории Верхнебалыклейского сельского поселения Быковского муниципального района Волгоградской области направлен на обеспечение прав граждан на благоприятную окружающую среду, охрану и защиту зеленого фонда сельского поселения и регулирует вопросы, связанные с размещением, использованием, воспроизводством зеленых насаждений (деревьев) (далее - зеленых насаждений) на территории сельского поселения.</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Настоящий Порядок является обязательным для всех граждан, индивидуальных предпринимателей и юридических лиц, а также организаций ведущих проектирование, строительство, ремонт и другие работы, связанные с необходимой вырубкой зеленых насаждений на территории сельского поселения.</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Порядок предоставления Разрешений распространяется на озелененные территории сельского поселения, за исключением зеленых насаждений, находящихся на огороднических и дачных земельных участках, а также на земельных участках, принадлежащих гражданам и юридическим лицам на праве частной собственности.</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Предоставление Разрешений осуществляет Администрация Верхнебалыклейского сельского поселения Быковского муниципального района Волгоградской области (далее - Администрация) и производится на безвозмездной основе.</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Вырубка (снос), обрезка и (или) пересадка зеленых насаждений осуществляется в следующих случаях:</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5.1. реализации проектов строительства, реконструкции зданий, сооружений, благоустройства территории, утверждаемых в установленном порядке и имеющих положительное заключение государственной экспертизы;</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5.2. необходимости улучшения качественного и видового состава зеленых насаждений путем проведения санитарных рубок, рубок ухода и реконструкции зеленых насаждений;</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5.3. обеспечения нормативного светового режима в жилых помещениях, затемненных зелеными насаждениями;</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5.4. ликвидации или предупреждения аварий на наружных сетях уличного освещения и силовых сетей;</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5.5. чрезвычайных ситуаций природного и техногенного характера и ликвидации их последствия;</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5.6. производства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Лицо (гражданин, индивидуальный предприниматель или юридическое лицо), в интересах которого планируется выполнение работ по вырубке (сносу), обрезке и (или) пересадке зеленых насаждений, подает в Администрацию заявление на предоставление Разрешения содержанием следующей информации:</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 фамилия, имя, отчество заявителя или наименование юридического лица и лица, ответственного за проведение работ;</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 контактный адрес заявителя, телефон;</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 указание цели (причины) вырубки, места расположения зеленых насаждений, подлежащих вырубке, их количество;</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 перечень документов, прилагаемых к заявлению, с указанием их наименования.</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К заявлению на предоставление Разрешения прилагаются следующие документы:</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7.1.  В случае осуществления градостроительной деятельности в соответствии с действующим законодательством Российской Федерации:</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документ, подтверждающий права на земельный участок (выписка из Единого государственного реестра прав на недвижимое имущество и сделок с ним,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(обрезке) зеленых насаждений,  повреждению, уничтожению газонов, цветников  (предоставляется заявителем или предоставляется по каналам межведомственного взаимодействия);</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схема участка (в масштабе 1:500) до ближайших строений или других ориентиров с нанесением зеленых насаждений, подлежащих вырубке, обрезке, уничтожению, повреждению;</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 утвержденная документация по планировке территории (распоряжение об утверждении проекта планировки территории, градостроительный план земельного участка)  и/или проектная документация (разрешение на строительство) (предоставляется заявителем или предоставляется по каналам межведомственного взаимодействия);</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смета на производство работ по посадке и уходу за зелеными насаждениями, планируемыми к высадке в порядке компенсационного озеленения;</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проект посадки новых деревьев и кустарников.</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7.2. В случае проведения санитарных рубок и реконструкции зеленых насаждений:</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документ, подтверждающий права на земельный участок (выписка из Единого государственного реестра недвижимости,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(обрезке) зеленых насаждений (предоставляется заявителем или предоставляется по каналам межведомственного взаимодействия);</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при рассмотрении заявлений физических лиц – собственников помещений многоквартирного дома положительное решение общего собрания собственников помещений многоквартирного дома на вырубку (обрезку), посадку зеленых насаждений или необходимое количество подписей (более 50 % собственников помещений в многоквартирном доме или их представителей);</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схема участка (в масштабе 1:500) до ближайших строений или других ориентиров с нанесением зеленых насаждений, подлежащих вырубке, обрезке;</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проект посадки новых деревьев и кустарников (в случае реконструкции зеленых насаждений).</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7.3. В случае восстановления по заключению органов санитарно-эпидемиологического надзора нормативного светового режима в жилых и нежилых помещениях, затеняемых деревьями:</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документ, подтверждающий права на земельный участок (выписка из Единого государственного реестра недвижимости,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(обрезке) зеленых насаждений (предоставляется заявителем или предоставляется по каналам межведомственного взаимодействия);</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заключение органов санитарно-эпидемиологического надзора о восстановлении светового режима в жилых и нежилых помещениях, затеняемых деревьями;</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схема участка (в масштабе 1:500) до ближайших строений или других ориентиров с нанесением зеленых насаждений, подлежащих вырубке, обрезке.</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7.4. В случае ликвидации аварийных и чрезвычайных ситуаций, ремонта подземных коммуникаций и капитальных инженерных сооружений:</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схема участка (в масштабе 1:500) до ближайших строений или других ориентиров с нанесением зеленых насаждений, подлежащих вырубке, обрезке.</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Размер восстановительной стоимости за повреждение и уничтожение зеленых насаждений определяется администрацией в соответствии с Порядком определения восстановительной стоимости зеленых насаждений, утвержденным администрацией.</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Заявление на предоставление Разрешения регистрируется ответственным за это должностным лицом администрации в установленном порядке.</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После регистрации заявление и пакет документов передаются ответственному должностному лицу администрации города Старица, который собирает комиссию для проведения комиссионного обследования состояния зеленых насаждений с участием заявителя и составления акта.</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В акте обследование состояния зеленых насаждений должно быть указано:</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 количество, наименование пород деревьев (кустарников), подлежащих вырубке, обрезке и (или) пересадке;</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 описание состояния зеленых насаждений, подлежащих рубке (сносу), обрезке и (или) пересадке;</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 заключение о необходимости выполнения работ по рубке (сносу), обрезке и (или) пересадке зеленых насаждений.</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Решение о выдаче Разрешения либо об отказе в выдаче принимается ответственным должностным лицом Администрации в течение 30 (тридцати) календарных дней с даты регистрации заявления на основании представленных документов и акта.</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При ликвидации аварии на инженерных коммуникациях (сооружениях) владелец (эксплуатирующая организация) коммуникаций (сооружений) в течение 24 часов в обязательном порядке письменно сообщает в администрацию о необходимости вырубки (сноса) зеленых насаждений в зоне производства работ, приступает к их вырубке (сносу) и в течение трех дней с момента аварии обеспечивает получение Разрешения.</w:t>
      </w:r>
    </w:p>
    <w:p>
      <w:pPr>
        <w:widowControl w:val="false"/>
        <w:spacing w:before="0" w:after="0" w:line="240"/>
        <w:ind w:right="0" w:left="720" w:firstLine="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Лица, которые самовольно произвели вырубку (обрезку, перенос) зеленых насаждений на территории сельского поселения, без Разрешения, нарушившие порядок проведения, сроки вырубки (переноса), обрезки или уборки зеленых насаждений после выполнения работ, несут административную ответственность в установленном действующим законодательством порядке.</w:t>
      </w:r>
    </w:p>
    <w:p>
      <w:pPr>
        <w:widowControl w:val="false"/>
        <w:spacing w:before="0" w:after="0" w:line="240"/>
        <w:ind w:right="0" w:left="720" w:firstLine="0"/>
        <w:jc w:val="both"/>
        <w:rPr>
          <w:rFonts w:ascii="Arial" w:hAnsi="Arial" w:cs="Arial" w:eastAsia="Arial"/>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